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59.png" ContentType="image/png"/>
  <Override PartName="/word/media/rId48.png" ContentType="image/png"/>
  <Override PartName="/word/media/rId62.png" ContentType="image/png"/>
  <Override PartName="/word/media/rId66.png" ContentType="image/png"/>
  <Override PartName="/word/media/rId53.png" ContentType="image/png"/>
  <Override PartName="/word/media/rId57.png" ContentType="image/png"/>
  <Override PartName="/word/media/rId71.png" ContentType="image/png"/>
  <Override PartName="/word/media/rId164.png" ContentType="image/png"/>
  <Override PartName="/word/media/rId174.png" ContentType="image/png"/>
  <Override PartName="/word/media/rId16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bookmarkEnd w:id="20"/>
    <w:bookmarkStart w:id="21" w:name="abstract"/>
    <w:p>
      <w:pPr>
        <w:pStyle w:val="Heading2"/>
      </w:pPr>
      <w:r>
        <w:rPr>
          <w:bCs/>
          <w:b/>
        </w:rPr>
        <w:t xml:space="preserve">Abstract</w:t>
      </w:r>
    </w:p>
    <w:p>
      <w:pPr>
        <w:pStyle w:val="FirstParagraph"/>
      </w:pPr>
      <w:r>
        <w:t xml:space="preserve">Climate change is expected to result in warmer and more variable thermal environments globally. Greater thermal variability is expeced to result in strong selection pressures leading to genetic adaptation and/or the evolution of adaptive phenotypic plasticity. However, such responses depend on the extent of genetic and phenotypic variability, yet most work has focused on mean responses to climate warming ignoring how temperature changes variability. Here, we collect data on marine, freshwater and terrestrial ectotherms to quantify their capacity for acclimation and the extent to which variance in physiological rates change in response to higher temperatures. We use new effect size measures and meta-analysis to understand</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extinction rates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plasticity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are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plasticity, such as acclimatization and behavioural plasticity, are expected to provide greater potential to buffer populations from climate impacts as responses can be fine-tuned to environments</w:t>
      </w:r>
      <w:r>
        <w:t xml:space="preserve"> </w:t>
      </w:r>
      <w:r>
        <w:t xml:space="preserve">(assuming the costs of plasticity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 in a population</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in a population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 Hart</w:t>
      </w:r>
      <w:r>
        <w:t xml:space="preserve"> </w:t>
      </w:r>
      <w:r>
        <w:rPr>
          <w:iCs/>
          <w:i/>
        </w:rPr>
        <w:t xml:space="preserve">et al.</w:t>
      </w:r>
      <w:r>
        <w:t xml:space="preserve"> </w:t>
      </w:r>
      <w:r>
        <w:t xml:space="preserve">2016)</w:t>
      </w:r>
      <w:r>
        <w:t xml:space="preserve">. The implications of changes in variance could, therefore, have wide-reaching consequences for understanding the capacity of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it is unclear if the magnitude of physiological adjustment is sufficient, particularly in combination with potential changes in other factors, such as genetic and phenotypic variability.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an increase in temperature may have a stronger impact on variation in physiological rates within populations compared to aquatic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 the dataset of</w:t>
      </w:r>
      <w:r>
        <w:t xml:space="preserve"> </w:t>
      </w:r>
      <w:r>
        <w:t xml:space="preserve">Seebacher</w:t>
      </w:r>
      <w:r>
        <w:t xml:space="preserve"> </w:t>
      </w:r>
      <w:r>
        <w:rPr>
          <w:iCs/>
          <w:i/>
        </w:rPr>
        <w:t xml:space="preserve">et al.</w:t>
      </w:r>
      <w:r>
        <w:t xml:space="preserve"> </w:t>
      </w:r>
      <w:r>
        <w:t xml:space="preserve">(2015)</w:t>
      </w:r>
      <w:r>
        <w:t xml:space="preserve">’s.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physiological rates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that climate warming will have on physiological rate variance.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 n.d.)</w:t>
      </w:r>
      <w:r>
        <w:t xml:space="preserve">. In addition, Bayesian methods better protect against type I errors in the presence of complex sources of non-independence</w:t>
      </w:r>
      <w:r>
        <w:t xml:space="preserve"> </w:t>
      </w:r>
      <w:r>
        <w:t xml:space="preserve">(Noble</w:t>
      </w:r>
      <w:r>
        <w:t xml:space="preserve"> </w:t>
      </w:r>
      <w:r>
        <w:rPr>
          <w:iCs/>
          <w:i/>
        </w:rPr>
        <w:t xml:space="preserve">et al.</w:t>
      </w:r>
      <w:r>
        <w:t xml:space="preserve"> </w:t>
      </w:r>
      <w:r>
        <w:t xml:space="preserve">2017; 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6"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2"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-8.72% across all habitats (95%CI: -15.14 to -2.45%).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17.08% (95% CI: -24.32 to -10.19) in freshwater and 15.7% (95% CI: -25.96 to -4.79) in marine environments. In contrast, terrestrial ectotherms showed no acclimation (possibly even inverse acclimation) – showing a 6.6%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-6.56 to 21.19,</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 of sampling variability,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(see Supplement;</w:t>
      </w:r>
      <w:r>
        <w:t xml:space="preserve"> </w:t>
      </w:r>
      <w:hyperlink w:anchor="fig-2">
        <w:r>
          <w:rPr>
            <w:rStyle w:val="Hyperlink"/>
          </w:rPr>
          <w:t xml:space="preserve">Figure 8</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2</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p>
      <w:pPr>
        <w:pStyle w:val="SourceCode"/>
      </w:pPr>
      <w:r>
        <w:rPr>
          <w:rStyle w:val="VerbatimChar"/>
        </w:rPr>
        <w:t xml:space="preserve">quartz_off_screen </w:t>
      </w:r>
      <w:r>
        <w:br/>
      </w:r>
      <w:r>
        <w:rPr>
          <w:rStyle w:val="VerbatimChar"/>
        </w:rPr>
        <w:t xml:space="preserve">                2 </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3"/>
          <w:p>
            <w:pPr>
              <w:pStyle w:val="Figure"/>
              <w:jc w:val="center"/>
            </w:pPr>
            <w:r>
              <w:drawing>
                <wp:inline>
                  <wp:extent cx="6680200" cy="2147207"/>
                  <wp:effectExtent b="0" l="0" r="0" t="0"/>
                  <wp:docPr descr="" title="" id="49" name="Picture"/>
                  <a:graphic>
                    <a:graphicData uri="http://schemas.openxmlformats.org/drawingml/2006/picture">
                      <pic:pic>
                        <pic:nvPicPr>
                          <pic:cNvPr descr="ms_files/figure-docx/fig-3-1.png" id="50" name="Picture"/>
                          <pic:cNvPicPr>
                            <a:picLocks noChangeArrowheads="1" noChangeAspect="1"/>
                          </pic:cNvPicPr>
                        </pic:nvPicPr>
                        <pic:blipFill>
                          <a:blip r:embed="rId48"/>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mean acclimation and acute</w:t>
            </w:r>
            <w:r>
              <w:t xml:space="preserve"> </w:t>
            </w:r>
            <m:oMath>
              <m:r>
                <m:t>l</m:t>
              </m:r>
              <m:r>
                <m:t>n</m:t>
              </m:r>
              <m:r>
                <m:t>R</m:t>
              </m:r>
              <m:sSub>
                <m:e>
                  <m:r>
                    <m:t>R</m:t>
                  </m:r>
                </m:e>
                <m:sub>
                  <m:sSub>
                    <m:e>
                      <m:r>
                        <m:t>Q</m:t>
                      </m:r>
                    </m:e>
                    <m:sub>
                      <m:r>
                        <m:t>10</m:t>
                      </m:r>
                    </m:sub>
                  </m:sSub>
                </m:sub>
              </m:sSub>
            </m:oMath>
            <w:r>
              <w:t xml:space="preserve"> </w:t>
            </w:r>
            <w:r>
              <w:t xml:space="preserve">for adult and juevenile life-history stages for A) Marine, B) Freshwater and C) Terrestrial ectotherms. k = total number of effect size estimates while the numbers in brackets indicate the number of species. Thick bars indicate 95% confidence intervals and thin bars indicate 95% prediction intervals.</w:t>
            </w:r>
          </w:p>
          <w:bookmarkEnd w:id="51"/>
        </w:tc>
      </w:tr>
    </w:tbl>
    <w:bookmarkEnd w:id="52"/>
    <w:bookmarkStart w:id="61" w:name="X154af5ffdb2f3095ae955505151268023f3ff9a"/>
    <w:p>
      <w:pPr>
        <w:pStyle w:val="Heading3"/>
      </w:pPr>
      <w:r>
        <w:rPr>
          <w:iCs/>
          <w:i/>
        </w:rPr>
        <w:t xml:space="preserve">Reduced variation in physiological rates in terrestrial ectotherms</w:t>
      </w:r>
    </w:p>
    <w:p>
      <w:pPr>
        <w:pStyle w:val="FirstParagraph"/>
      </w:pPr>
      <w:r>
        <w:t xml:space="preserve">Relative variance in physiological rates,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relative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relative variation for marine ectotherms when temperatures increase by 10</w:t>
      </w:r>
      <m:oMath>
        <m:sSup>
          <m:e>
            <m:r>
              <m:t>​</m:t>
            </m:r>
          </m:e>
          <m:sup>
            <m:r>
              <m:rPr>
                <m:sty m:val="p"/>
              </m:rPr>
              <m:t>∘</m:t>
            </m:r>
          </m:sup>
        </m:sSup>
      </m:oMath>
      <w:r>
        <w:t xml:space="preserve">C. In contrast, freshwater ectotherms exhibited a much smaller reduction in relative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3</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6" w:name="fig-cvrlh"/>
          <w:p>
            <w:pPr>
              <w:pStyle w:val="Figure"/>
              <w:jc w:val="center"/>
            </w:pPr>
            <w:r>
              <w:drawing>
                <wp:inline>
                  <wp:extent cx="6680200" cy="2147207"/>
                  <wp:effectExtent b="0" l="0" r="0" t="0"/>
                  <wp:docPr descr="" title="" id="54" name="Picture"/>
                  <a:graphic>
                    <a:graphicData uri="http://schemas.openxmlformats.org/drawingml/2006/picture">
                      <pic:pic>
                        <pic:nvPicPr>
                          <pic:cNvPr descr="ms_files/figure-docx/fig-cvrlh-1.png" id="55" name="Picture"/>
                          <pic:cNvPicPr>
                            <a:picLocks noChangeArrowheads="1" noChangeAspect="1"/>
                          </pic:cNvPicPr>
                        </pic:nvPicPr>
                        <pic:blipFill>
                          <a:blip r:embed="rId53"/>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Estimated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 k = total number of effect size estimates while the numbers in brackets indicate the number of species. Thick bars indicate 95% confidence intervals and thin bars indicate 95% prediction intervals.</w:t>
            </w:r>
          </w:p>
          <w:bookmarkEnd w:id="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 w:name="fig-cvrtrait"/>
          <w:p>
            <w:pPr>
              <w:pStyle w:val="Figure"/>
              <w:jc w:val="center"/>
            </w:pPr>
            <w:r>
              <w:drawing>
                <wp:inline>
                  <wp:extent cx="6680200" cy="2183911"/>
                  <wp:effectExtent b="0" l="0" r="0" t="0"/>
                  <wp:docPr descr="" title="" id="58" name="Picture"/>
                  <a:graphic>
                    <a:graphicData uri="http://schemas.openxmlformats.org/drawingml/2006/picture">
                      <pic:pic>
                        <pic:nvPicPr>
                          <pic:cNvPr descr="ms_files/figure-docx/fig-cvrtrait-1.png" id="59" name="Picture"/>
                          <pic:cNvPicPr>
                            <a:picLocks noChangeArrowheads="1" noChangeAspect="1"/>
                          </pic:cNvPicPr>
                        </pic:nvPicPr>
                        <pic:blipFill>
                          <a:blip r:embed="rId57"/>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w:t>
            </w:r>
          </w:p>
          <w:bookmarkEnd w:id="60"/>
        </w:tc>
      </w:tr>
    </w:tbl>
    <w:bookmarkEnd w:id="61"/>
    <w:bookmarkStart w:id="70"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physiological rate variance among terrestrial, marine or freshwater populations (</w:t>
      </w:r>
      <w:hyperlink w:anchor="fig-4">
        <w:r>
          <w:rPr>
            <w:rStyle w:val="Hyperlink"/>
          </w:rPr>
          <w:t xml:space="preserve">Figure 5</w:t>
        </w:r>
      </w:hyperlink>
      <w:r>
        <w:t xml:space="preserve">;</w:t>
      </w:r>
      <w:r>
        <w:t xml:space="preserve"> </w:t>
      </w:r>
      <w:hyperlink w:anchor="fig-5">
        <w:r>
          <w:rPr>
            <w:rStyle w:val="Hyperlink"/>
          </w:rPr>
          <w:t xml:space="preserve">Figure 6</w:t>
        </w:r>
      </w:hyperlink>
      <w:r>
        <w:t xml:space="preserve">).</w:t>
      </w:r>
    </w:p>
    <w:tbl>
      <w:tblPr>
        <w:tblStyle w:val="Table"/>
        <w:tblW w:type="pct" w:w="5000"/>
        <w:tblLook w:firstRow="0" w:lastRow="0" w:firstColumn="0" w:lastColumn="0" w:noHBand="0" w:noVBand="0" w:val="0000"/>
      </w:tblPr>
      <w:tblGrid>
        <w:gridCol w:w="7920"/>
      </w:tblGrid>
      <w:tr>
        <w:tc>
          <w:tcPr/>
          <w:bookmarkStart w:id="65" w:name="fig-4"/>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4-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Predicted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w:t>
            </w:r>
            <w:r>
              <w:t xml:space="preserve"> </w:t>
            </w:r>
            <w:r>
              <w:t xml:space="preserve">$eta$</w:t>
            </w:r>
            <w:r>
              <w:t xml:space="preserve">, along with the 95% CI and</w:t>
            </w:r>
            <w:r>
              <w:t xml:space="preserve"> </w:t>
            </w:r>
            <m:oMath>
              <m:sSub>
                <m:e>
                  <m:r>
                    <m:t>p</m:t>
                  </m:r>
                </m:e>
                <m:sub>
                  <m:r>
                    <m:t>M</m:t>
                  </m:r>
                  <m:r>
                    <m:t>C</m:t>
                  </m:r>
                  <m:r>
                    <m:t>M</m:t>
                  </m:r>
                  <m:r>
                    <m:t>C</m:t>
                  </m:r>
                </m:sub>
              </m:sSub>
            </m:oMath>
            <w:r>
              <w:t xml:space="preserve"> </w:t>
            </w:r>
            <w:r>
              <w:t xml:space="preserve">value are shown for each habitat.</w:t>
            </w:r>
          </w:p>
          <w:bookmarkEnd w:id="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 w:name="fig-5"/>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5-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Predicted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w:t>
            </w:r>
            <w:r>
              <w:t xml:space="preserve"> </w:t>
            </w:r>
            <m:oMath>
              <m:r>
                <m:t>β</m:t>
              </m:r>
            </m:oMath>
            <w:r>
              <w:t xml:space="preserve">, along with the 95% CI and</w:t>
            </w:r>
            <w:r>
              <w:t xml:space="preserve"> </w:t>
            </w:r>
            <m:oMath>
              <m:sSub>
                <m:e>
                  <m:r>
                    <m:t>p</m:t>
                  </m:r>
                </m:e>
                <m:sub>
                  <m:r>
                    <m:t>M</m:t>
                  </m:r>
                  <m:r>
                    <m:t>C</m:t>
                  </m:r>
                  <m:r>
                    <m:t>M</m:t>
                  </m:r>
                  <m:r>
                    <m:t>C</m:t>
                  </m:r>
                </m:sub>
              </m:sSub>
            </m:oMath>
            <w:r>
              <w:t xml:space="preserve"> </w:t>
            </w:r>
            <w:r>
              <w:t xml:space="preserve">value are shown for each habitat.</w:t>
            </w:r>
          </w:p>
          <w:bookmarkEnd w:id="69"/>
        </w:tc>
      </w:tr>
    </w:tbl>
    <w:bookmarkEnd w:id="70"/>
    <w:bookmarkStart w:id="75" w:name="X73568919e14130ed845d709a8642ee495635fe2"/>
    <w:p>
      <w:pPr>
        <w:pStyle w:val="Heading3"/>
      </w:pPr>
      <w:r>
        <w:t xml:space="preserve">Changes in physiological rate variance under climate change</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7</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7</w:t>
        </w:r>
      </w:hyperlink>
      <w:r>
        <w:t xml:space="preserve"> </w:t>
      </w:r>
      <w:r>
        <w:t xml:space="preserve">D). However, out of the 188 populations variance was predicted to decrease in 97.87% of the locations.</w:t>
      </w:r>
    </w:p>
    <w:p>
      <w:pPr>
        <w:pStyle w:val="BodyText"/>
      </w:pPr>
      <w:r>
        <w:t xml:space="preserve">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0.5% change in variance for freshwater systems (95% CI: -6.03 to 6.65%,</w:t>
      </w:r>
      <w:r>
        <w:t xml:space="preserve"> </w:t>
      </w:r>
      <m:oMath>
        <m:sSub>
          <m:e>
            <m:r>
              <m:t>p</m:t>
            </m:r>
          </m:e>
          <m:sub>
            <m:r>
              <m:t>M</m:t>
            </m:r>
            <m:r>
              <m:t>C</m:t>
            </m:r>
            <m:r>
              <m:t>M</m:t>
            </m:r>
            <m:r>
              <m:t>C</m:t>
            </m:r>
          </m:sub>
        </m:sSub>
      </m:oMath>
      <w:r>
        <w:t xml:space="preserve"> </w:t>
      </w:r>
      <w:r>
        <w:t xml:space="preserve">= 0.82), whereas we expect a 3.13% reduction in variance for marine systems (95% CI: -6.66 to 0.93%,</w:t>
      </w:r>
      <w:r>
        <w:t xml:space="preserve"> </w:t>
      </w:r>
      <m:oMath>
        <m:sSub>
          <m:e>
            <m:r>
              <m:t>p</m:t>
            </m:r>
          </m:e>
          <m:sub>
            <m:r>
              <m:t>M</m:t>
            </m:r>
            <m:r>
              <m:t>C</m:t>
            </m:r>
            <m:r>
              <m:t>M</m:t>
            </m:r>
            <m:r>
              <m:t>C</m:t>
            </m:r>
          </m:sub>
        </m:sSub>
      </m:oMath>
      <w:r>
        <w:t xml:space="preserve"> </w:t>
      </w:r>
      <w:r>
        <w:t xml:space="preserve">= 0.31) and a 12.61% reduction in variance for terrestrial systems (95% CI: -19.92 to -6.43%,</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4" w:name="fig-fig6"/>
          <w:p>
            <w:pPr>
              <w:pStyle w:val="Figure"/>
              <w:jc w:val="center"/>
            </w:pPr>
            <w:r>
              <w:drawing>
                <wp:inline>
                  <wp:extent cx="6680200" cy="8650002"/>
                  <wp:effectExtent b="0" l="0" r="0" t="0"/>
                  <wp:docPr descr="" title="" id="72" name="Picture"/>
                  <a:graphic>
                    <a:graphicData uri="http://schemas.openxmlformats.org/drawingml/2006/picture">
                      <pic:pic>
                        <pic:nvPicPr>
                          <pic:cNvPr descr="ms_files/figure-docx/fig-fig6-1.png" id="73" name="Picture"/>
                          <pic:cNvPicPr>
                            <a:picLocks noChangeArrowheads="1" noChangeAspect="1"/>
                          </pic:cNvPicPr>
                        </pic:nvPicPr>
                        <pic:blipFill>
                          <a:blip r:embed="rId71"/>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4"/>
        </w:tc>
      </w:tr>
    </w:tbl>
    <w:bookmarkEnd w:id="75"/>
    <w:bookmarkEnd w:id="76"/>
    <w:bookmarkStart w:id="82"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the relative variance in physiological rates is expected to decrease for ectotherms as temperatures increase, but particularly so for terrestrial ectotherms (~28%). Decreases in the relative variance of physiological rates are larger than the expected benefits from acclimation in marine and terrestrial ectotherms (</w:t>
      </w:r>
      <w:r>
        <w:rPr>
          <w:iCs/>
          <w:i/>
        </w:rPr>
        <w:t xml:space="preserve">marine</w:t>
      </w:r>
      <w:r>
        <w:t xml:space="preserve">: 9% acclimation vs. 15% reduction in variance;</w:t>
      </w:r>
      <w:r>
        <w:t xml:space="preserve"> </w:t>
      </w:r>
      <w:r>
        <w:rPr>
          <w:iCs/>
          <w:i/>
        </w:rPr>
        <w:t xml:space="preserve">terrestrial</w:t>
      </w:r>
      <w:r>
        <w:t xml:space="preserve">: no acclimation vs 28% reduction in variance). Such effects are expected to result in a decrease in the variability in physiological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 We discuss our findings in the context of the current literature and highlight key areas for future research.</w:t>
      </w:r>
    </w:p>
    <w:bookmarkStart w:id="77" w:name="Xe911b40312146b6b88f47f6a34517f142bc9be0"/>
    <w:p>
      <w:pPr>
        <w:pStyle w:val="Heading3"/>
      </w:pPr>
      <w:r>
        <w:rPr>
          <w:iCs/>
          <w:i/>
          <w:bCs/>
          <w:b/>
        </w:rPr>
        <w:t xml:space="preserve">Potential evolutionary consequences for reduced plasticity and variance in physiologcial rates across ectotherms</w:t>
      </w:r>
    </w:p>
    <w:p>
      <w:pPr>
        <w:pStyle w:val="FirstParagraph"/>
      </w:pPr>
      <w:r>
        <w:t xml:space="preserve">There is a general interest in understanding the interplay and relative importance of plasticity and genetic adaptation to a population’s capacity to mitigate climate change effects</w:t>
      </w:r>
      <w:r>
        <w:t xml:space="preserve"> </w:t>
      </w:r>
      <w:r>
        <w:t xml:space="preserve">(Chevin</w:t>
      </w:r>
      <w:r>
        <w:t xml:space="preserve"> </w:t>
      </w:r>
      <w:r>
        <w:rPr>
          <w:iCs/>
          <w:i/>
        </w:rPr>
        <w:t xml:space="preserve">et al.</w:t>
      </w:r>
      <w:r>
        <w:t xml:space="preserve"> </w:t>
      </w:r>
      <w:r>
        <w:t xml:space="preserve">2010; Hoffmann &amp; Sgrò 2011; Merilä &amp; Hendry 2014; Urban</w:t>
      </w:r>
      <w:r>
        <w:t xml:space="preserve"> </w:t>
      </w:r>
      <w:r>
        <w:rPr>
          <w:iCs/>
          <w:i/>
        </w:rPr>
        <w:t xml:space="preserve">et al.</w:t>
      </w:r>
      <w:r>
        <w:t xml:space="preserve"> </w:t>
      </w:r>
      <w:r>
        <w:t xml:space="preserve">2023)</w:t>
      </w:r>
      <w:r>
        <w:t xml:space="preserve">. Phenotypic plasticity is expected to allow populations to persist in the face of climate extremes by better allowing phenotypes to match fitness optima, however, maladaptive responses can occur</w:t>
      </w:r>
      <w:r>
        <w:t xml:space="preserve"> </w:t>
      </w:r>
      <w:r>
        <w:t xml:space="preserve">(Noble</w:t>
      </w:r>
      <w:r>
        <w:t xml:space="preserve"> </w:t>
      </w:r>
      <w:r>
        <w:rPr>
          <w:iCs/>
          <w:i/>
        </w:rPr>
        <w:t xml:space="preserve">et al.</w:t>
      </w:r>
      <w:r>
        <w:t xml:space="preserve"> </w:t>
      </w:r>
      <w:r>
        <w:t xml:space="preserve">2019; Radersma</w:t>
      </w:r>
      <w:r>
        <w:t xml:space="preserve"> </w:t>
      </w:r>
      <w:r>
        <w:rPr>
          <w:iCs/>
          <w:i/>
        </w:rPr>
        <w:t xml:space="preserve">et al.</w:t>
      </w:r>
      <w:r>
        <w:t xml:space="preserve"> </w:t>
      </w:r>
      <w:r>
        <w:t xml:space="preserve">2020)</w:t>
      </w:r>
      <w:r>
        <w:t xml:space="preserve"> </w:t>
      </w:r>
      <w:r>
        <w:t xml:space="preserve">and there may be limits / costs to plasticity that may prevent it from evolving</w:t>
      </w:r>
      <w:r>
        <w:t xml:space="preserve"> </w:t>
      </w:r>
      <w:r>
        <w:t xml:space="preserve">(Dewitt</w:t>
      </w:r>
      <w:r>
        <w:t xml:space="preserve"> </w:t>
      </w:r>
      <w:r>
        <w:rPr>
          <w:iCs/>
          <w:i/>
        </w:rPr>
        <w:t xml:space="preserve">et al.</w:t>
      </w:r>
      <w:r>
        <w:t xml:space="preserve"> </w:t>
      </w:r>
      <w:r>
        <w:t xml:space="preserve">1998; but see Murren</w:t>
      </w:r>
      <w:r>
        <w:t xml:space="preserve"> </w:t>
      </w:r>
      <w:r>
        <w:rPr>
          <w:iCs/>
          <w:i/>
        </w:rPr>
        <w:t xml:space="preserve">et al.</w:t>
      </w:r>
      <w:r>
        <w:t xml:space="preserve"> </w:t>
      </w:r>
      <w:r>
        <w:t xml:space="preserve">2015)</w:t>
      </w:r>
      <w:r>
        <w:t xml:space="preserve">. While there is substantial variation in effects across species, we show that plastic adjustments to physiological rates are, on average, rather small compared to the general reduction variance in physiological rates. Variance reductions are particularly pronounced for terrestrial ectotherms and there were no major differences between life-stages. While it is unclear the extent to which such changes in variance are heritable, we expect changes in variance of this magnitude to impact the</w:t>
      </w:r>
      <w:r>
        <w:t xml:space="preserve"> </w:t>
      </w:r>
      <w:r>
        <w:t xml:space="preserve">‘</w:t>
      </w:r>
      <w:r>
        <w:t xml:space="preserve">opportunity for selection</w:t>
      </w:r>
      <w:r>
        <w:t xml:space="preserve">’</w:t>
      </w:r>
      <w:r>
        <w:t xml:space="preserve"> </w:t>
      </w:r>
      <w:r>
        <w:t xml:space="preserve">by reducing the strength of selection and/or impacting underlying genetic variance exposed to selection. Both are predicted to impact the capacity of populations to evolve under climate change</w:t>
      </w:r>
      <w:r>
        <w:t xml:space="preserve"> </w:t>
      </w:r>
      <w:r>
        <w:t xml:space="preserve">(Hoffmann &amp; Sgrò 2011; Urban</w:t>
      </w:r>
      <w:r>
        <w:t xml:space="preserve"> </w:t>
      </w:r>
      <w:r>
        <w:rPr>
          <w:iCs/>
          <w:i/>
        </w:rPr>
        <w:t xml:space="preserve">et al.</w:t>
      </w:r>
      <w:r>
        <w:t xml:space="preserve"> </w:t>
      </w:r>
      <w:r>
        <w:t xml:space="preserve">2023)</w:t>
      </w:r>
      <w:r>
        <w:t xml:space="preserve">.</w:t>
      </w:r>
    </w:p>
    <w:p>
      <w:pPr>
        <w:pStyle w:val="BodyText"/>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that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 The weak acclimation responses of terrestrial ectotherms suggest that evolving plasticity in physiological rates may be hard, possibly because terrestrial ectotherms are more likely to experience more variable and unpredictable thermal environments than aquatic ectotherms (see below). Reductions in physiological rate variance for terrestrial ectotherms may be because of selective mortality at higher temperatures reducing intrapopulation variability or populations being pushed closer to their thermal maxima (or a combination of both). Disentangling these hypotheses will require empirical studies to connect survival measures at different temperatures with thermal physiology across individuals (e.g.,</w:t>
      </w:r>
      <w:r>
        <w:t xml:space="preserve"> </w:t>
      </w:r>
      <m:oMath>
        <m:r>
          <m:t>C</m:t>
        </m:r>
        <m:sSub>
          <m:e>
            <m:r>
              <m:t>T</m:t>
            </m:r>
          </m:e>
          <m:sub>
            <m:r>
              <m:t>m</m:t>
            </m:r>
            <m:r>
              <m:t>a</m:t>
            </m:r>
            <m:r>
              <m:t>x</m:t>
            </m:r>
          </m:sub>
        </m:sSub>
      </m:oMath>
      <w:r>
        <w:t xml:space="preserve">).</w:t>
      </w:r>
    </w:p>
    <w:bookmarkEnd w:id="77"/>
    <w:bookmarkStart w:id="78" w:name="X0949d938fae8f94fb02ed8806a135ddcdae14b2"/>
    <w:p>
      <w:pPr>
        <w:pStyle w:val="Heading3"/>
      </w:pPr>
      <w:r>
        <w:rPr>
          <w:iCs/>
          <w:i/>
          <w:bCs/>
          <w:b/>
        </w:rPr>
        <w:t xml:space="preserve">Plasticity and variance in physiologcial rates do not differ between life-stages</w:t>
      </w:r>
    </w:p>
    <w:p>
      <w:pPr>
        <w:pStyle w:val="FirstParagraph"/>
      </w:pPr>
      <w:r>
        <w:t xml:space="preserve">Greater plasticity for early life-stages in development may be important for dealing with the effects of climate change because early life-stages are usually particularly vulnerable periods in development</w:t>
      </w:r>
      <w:r>
        <w:t xml:space="preserve"> </w:t>
      </w:r>
      <w:r>
        <w:t xml:space="preserve">(Stearns 1976; Martin 2015)</w:t>
      </w:r>
      <w:r>
        <w:t xml:space="preserve">. Evidence across the literature conflicts in terms of the extent to which one life-stage is more or less plastic than another</w:t>
      </w:r>
      <w:r>
        <w:t xml:space="preserve"> </w:t>
      </w:r>
      <w:r>
        <w:t xml:space="preserve">(Moghadam</w:t>
      </w:r>
      <w:r>
        <w:t xml:space="preserve"> </w:t>
      </w:r>
      <w:r>
        <w:rPr>
          <w:iCs/>
          <w:i/>
        </w:rPr>
        <w:t xml:space="preserve">et al.</w:t>
      </w:r>
      <w:r>
        <w:t xml:space="preserve"> </w:t>
      </w:r>
      <w:r>
        <w:t xml:space="preserve">2019; Carter &amp; Sheldon 2020)</w:t>
      </w:r>
      <w:r>
        <w:t xml:space="preserve">. For example,</w:t>
      </w:r>
      <w:r>
        <w:t xml:space="preserve"> </w:t>
      </w:r>
      <w:r>
        <w:t xml:space="preserve">Moghadam</w:t>
      </w:r>
      <w:r>
        <w:t xml:space="preserve"> </w:t>
      </w:r>
      <w:r>
        <w:rPr>
          <w:iCs/>
          <w:i/>
        </w:rPr>
        <w:t xml:space="preserve">et al.</w:t>
      </w:r>
      <w:r>
        <w:t xml:space="preserve"> </w:t>
      </w:r>
      <w:r>
        <w:t xml:space="preserve">(2019)</w:t>
      </w:r>
      <w:r>
        <w:t xml:space="preserve"> </w:t>
      </w:r>
      <w:r>
        <w:t xml:space="preserve">showed that larvae</w:t>
      </w:r>
      <w:r>
        <w:t xml:space="preserve"> </w:t>
      </w:r>
      <w:r>
        <w:rPr>
          <w:iCs/>
          <w:i/>
        </w:rPr>
        <w:t xml:space="preserve">Drosophila</w:t>
      </w:r>
      <w:r>
        <w:t xml:space="preserve"> </w:t>
      </w:r>
      <w:r>
        <w:t xml:space="preserve">were more plastic in their heat hardening responses compared to adults. In contrast,</w:t>
      </w:r>
      <w:r>
        <w:t xml:space="preserve"> </w:t>
      </w:r>
      <w:r>
        <w:t xml:space="preserve">Carter &amp; Sheldon (2020)</w:t>
      </w:r>
      <w:r>
        <w:t xml:space="preserve"> </w:t>
      </w:r>
      <w:r>
        <w:t xml:space="preserve">showed greater thermal plasticity in metabolism for adults but little in pupae of</w:t>
      </w:r>
      <w:r>
        <w:t xml:space="preserve"> </w:t>
      </w:r>
      <w:r>
        <w:rPr>
          <w:iCs/>
          <w:i/>
        </w:rPr>
        <w:t xml:space="preserve">Onthophagus taurus</w:t>
      </w:r>
      <w:r>
        <w:t xml:space="preserve">. Across a diversity of taxa, we show that there were generally similar patterns between early and late life stages – both in terms of variance changes and the capacity for plasticity. Unsurprisingly, there is much variation in the literature and our findings suggest that patterns will depend on the species and traits in question. However, very few studies measured multiple life-history stages within the same population. As such, we need more studies that explicitly compare, within populations, differences in plasticity among life stages across multiple traits. A better understanding of the microthermal enviroments experienced by different life-stages will also be important in understanding why plasticity (or lack thereof) may differ among life-stages.</w:t>
      </w:r>
    </w:p>
    <w:bookmarkEnd w:id="78"/>
    <w:bookmarkStart w:id="79"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models predict that plasticity should evolve in populatons experiencing greater environmental variability (spatial or temporal), particularly if oscillations are predictable over time making environmental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heterogeneity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to evolve in terrestrial environments. However, we did not find evidence to this effect. The lack of relationship between physiological plasticity and environmental variability and predictability could be due to the challenges in estimating realistic microthermal enviroments experienced by taxa or because lower predictability of thermal environments over time make cues unreliable preventing plastic responses from evolving easily</w:t>
      </w:r>
      <w:r>
        <w:t xml:space="preserve"> </w:t>
      </w:r>
      <w:r>
        <w:t xml:space="preserve">(Hendry 2016; Leung</w:t>
      </w:r>
      <w:r>
        <w:t xml:space="preserve"> </w:t>
      </w:r>
      <w:r>
        <w:rPr>
          <w:iCs/>
          <w:i/>
        </w:rPr>
        <w:t xml:space="preserve">et al.</w:t>
      </w:r>
      <w:r>
        <w:t xml:space="preserve"> </w:t>
      </w:r>
      <w:r>
        <w:t xml:space="preserve">2020)</w:t>
      </w:r>
      <w:r>
        <w:t xml:space="preserve">. Randomly flutuating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flutuating thermal conditions did not lead to the expected increase in plasticity, but rather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when environments experienced were less predictable by experimentally evolving algae populations (</w:t>
      </w:r>
      <w:r>
        <w:rPr>
          <w:iCs/>
          <w:i/>
        </w:rPr>
        <w:t xml:space="preserve">Dunaliella salina</w:t>
      </w:r>
      <w:r>
        <w:t xml:space="preserve">)</w:t>
      </w:r>
      <w:r>
        <w:t xml:space="preserve"> </w:t>
      </w:r>
      <w:r>
        <w:t xml:space="preserve">(see also Leung</w:t>
      </w:r>
      <w:r>
        <w:t xml:space="preserve"> </w:t>
      </w:r>
      <w:r>
        <w:rPr>
          <w:iCs/>
          <w:i/>
        </w:rPr>
        <w:t xml:space="preserve">et al.</w:t>
      </w:r>
      <w:r>
        <w:t xml:space="preserve"> </w:t>
      </w:r>
      <w:r>
        <w:t xml:space="preserve">2023)</w:t>
      </w:r>
      <w:r>
        <w:t xml:space="preserve">. These findings, in combination with our results, suggests that there are costs to being plastic when environments are not predictable (either intrinsic physiological costs, fitness costs or both). The fact that aquatic ectotherms did show a capacity to acclimate suggest that environmental predictability, which is expected to be higher in aquatic environments, may be more important than environmental variability in driving the evolution of plasticity. However, disentangling the relative importance of environmental variability and predictability will require better distinguishing between active and passive plasticity, as the latter is expected to more likely be adaptive (</w:t>
      </w:r>
      <w:r>
        <w:t xml:space="preserve">Havird</w:t>
      </w:r>
      <w:r>
        <w:t xml:space="preserve"> </w:t>
      </w:r>
      <w:r>
        <w:rPr>
          <w:iCs/>
          <w:i/>
        </w:rPr>
        <w:t xml:space="preserve">et al.</w:t>
      </w:r>
      <w:r>
        <w:t xml:space="preserve"> </w:t>
      </w:r>
      <w:r>
        <w:t xml:space="preserve">(2020)</w:t>
      </w:r>
      <w:r>
        <w:t xml:space="preserve">), and better a understanding the fitness consequences of exhibiting plastic versus canalised phenotypes.</w:t>
      </w:r>
    </w:p>
    <w:bookmarkEnd w:id="79"/>
    <w:bookmarkStart w:id="80" w:name="X8b678a72bb2e83263e85a2c9c585f524553e933"/>
    <w:p>
      <w:pPr>
        <w:pStyle w:val="Heading3"/>
      </w:pPr>
      <w:r>
        <w:rPr>
          <w:iCs/>
          <w:i/>
          <w:bCs/>
          <w:b/>
        </w:rPr>
        <w:t xml:space="preserve">Ecological consequences of reduced variation in physiological rates</w:t>
      </w:r>
    </w:p>
    <w:p>
      <w:pPr>
        <w:pStyle w:val="FirstParagraph"/>
      </w:pPr>
      <w:r>
        <w:t xml:space="preserve">While we found that variance in physiological rates decreases at high temperatures, being especially pronouced in terrestrial ectotherms, variance reductions in metabolism and performance were key traits most strongly impacted. Changes in variability in physiological rates, particularly traits governing energy demand, could have important consequences on the flow of energy within and between populations, communities and ecosystems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Hart</w:t>
      </w:r>
      <w:r>
        <w:t xml:space="preserve"> </w:t>
      </w:r>
      <w:r>
        <w:rPr>
          <w:iCs/>
          <w:i/>
        </w:rPr>
        <w:t xml:space="preserve">et al.</w:t>
      </w:r>
      <w:r>
        <w:t xml:space="preserve"> </w:t>
      </w:r>
      <w:r>
        <w:t xml:space="preserve">2016; Hendry 2016)</w:t>
      </w:r>
      <w:r>
        <w:t xml:space="preserve">. Maintaining intrapopulaton variability in physiological rates in a warmer world may therefore be important for population resilience to climate change. Nonetheless, few studies have explored the consequences that variation in physiological traits have for population dynamics. Those studies that have, have shown that such variation can have important implications.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oscillations compared to scenarios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ectotherms will likely face an onslaught of ecological and evolutionary challenges which will mean greater rates of extinction and reduced productivity – predictions reinforced by several studies</w:t>
      </w:r>
      <w:r>
        <w:t xml:space="preserve"> </w:t>
      </w:r>
      <w:r>
        <w:t xml:space="preserve">(Hoffmann</w:t>
      </w:r>
      <w:r>
        <w:t xml:space="preserve"> </w:t>
      </w:r>
      <w:r>
        <w:rPr>
          <w:iCs/>
          <w:i/>
        </w:rPr>
        <w:t xml:space="preserve">et al.</w:t>
      </w:r>
      <w:r>
        <w:t xml:space="preserve"> </w:t>
      </w:r>
      <w:r>
        <w:t xml:space="preserve">2013; Gunderson &amp; Stillman 2015; Pottier</w:t>
      </w:r>
      <w:r>
        <w:t xml:space="preserve"> </w:t>
      </w:r>
      <w:r>
        <w:rPr>
          <w:iCs/>
          <w:i/>
        </w:rPr>
        <w:t xml:space="preserve">et al.</w:t>
      </w:r>
      <w:r>
        <w:t xml:space="preserve"> </w:t>
      </w:r>
      <w:r>
        <w:t xml:space="preserve">2022)</w:t>
      </w:r>
      <w:r>
        <w:t xml:space="preserve">. To date, however, an appreciation for the wide-reaching impacts that changes in variance may have on populations and communities remains limited. The ecological consequences of changes in physiological rate variance across aquatic and terrestrial ecosystems remain unclear. What we desperately need now are the development of theoretical models that better integrate intrapopulation variation into mechanistic physiological models or ones that better capture stochasticity such as individual based models. Our meta-analytic findings can help us better position ourselves to start asking questions about the ecological and evolutionary consequences of changes in variance in physiological rates.</w:t>
      </w:r>
    </w:p>
    <w:bookmarkEnd w:id="80"/>
    <w:bookmarkStart w:id="81" w:name="conclusions-and-future-directions"/>
    <w:p>
      <w:pPr>
        <w:pStyle w:val="Heading3"/>
      </w:pPr>
      <w:r>
        <w:rPr>
          <w:iCs/>
          <w:i/>
          <w:bCs/>
          <w:b/>
        </w:rPr>
        <w:t xml:space="preserve">Conclusions and future directions</w:t>
      </w:r>
    </w:p>
    <w:p>
      <w:pPr>
        <w:pStyle w:val="FirstParagraph"/>
      </w:pPr>
      <w:r>
        <w:t xml:space="preserve">Enhanced knowledge of how variation in physiological rates vary across populations and species and the degree to which they can be adjusted in response to the environment may increase our ability to make more informed predictions about the ecological and evolutionary dynamics of natural populations</w:t>
      </w:r>
      <w:r>
        <w:t xml:space="preserve"> </w:t>
      </w:r>
      <w:r>
        <w:t xml:space="preserve">(Forsman 2015)</w:t>
      </w:r>
      <w:r>
        <w:t xml:space="preserve">.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varaince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81"/>
    <w:bookmarkEnd w:id="82"/>
    <w:bookmarkStart w:id="158" w:name="references"/>
    <w:p>
      <w:pPr>
        <w:pStyle w:val="Heading2"/>
      </w:pPr>
      <w:r>
        <w:t xml:space="preserve">References</w:t>
      </w:r>
    </w:p>
    <w:p>
      <w:pPr>
        <w:pStyle w:val="FirstParagraph"/>
      </w:pPr>
    </w:p>
    <w:bookmarkStart w:id="157" w:name="refs"/>
    <w:bookmarkStart w:id="83"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3"/>
    <w:bookmarkStart w:id="84"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4"/>
    <w:bookmarkStart w:id="85"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85"/>
    <w:bookmarkStart w:id="86"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86"/>
    <w:bookmarkStart w:id="87"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87"/>
    <w:bookmarkStart w:id="88"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88"/>
    <w:bookmarkStart w:id="89" w:name="ref-carter2020life"/>
    <w:p>
      <w:pPr>
        <w:pStyle w:val="Bibliography"/>
      </w:pPr>
      <w:r>
        <w:t xml:space="preserve">Carter, A.W. &amp; Sheldon, K.S. (2020). Life stages differ in plasticity to temperature fluctuations and uniquely contribute to adult phenotype in onthophagus taurus dung beetles.</w:t>
      </w:r>
      <w:r>
        <w:t xml:space="preserve"> </w:t>
      </w:r>
      <w:r>
        <w:rPr>
          <w:iCs/>
          <w:i/>
        </w:rPr>
        <w:t xml:space="preserve">Journal of Experimental Biology</w:t>
      </w:r>
      <w:r>
        <w:t xml:space="preserve">, 223, jeb227884.</w:t>
      </w:r>
    </w:p>
    <w:bookmarkEnd w:id="89"/>
    <w:bookmarkStart w:id="90"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0"/>
    <w:bookmarkStart w:id="91"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1"/>
    <w:bookmarkStart w:id="92"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2"/>
    <w:bookmarkStart w:id="93"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3"/>
    <w:bookmarkStart w:id="94"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4"/>
    <w:bookmarkStart w:id="95"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5"/>
    <w:bookmarkStart w:id="96"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96"/>
    <w:bookmarkStart w:id="97"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97"/>
    <w:bookmarkStart w:id="9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98"/>
    <w:bookmarkStart w:id="9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99"/>
    <w:bookmarkStart w:id="100"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100"/>
    <w:bookmarkStart w:id="101" w:name="ref-hart2016variation"/>
    <w:p>
      <w:pPr>
        <w:pStyle w:val="Bibliography"/>
      </w:pPr>
      <w:r>
        <w:t xml:space="preserve">Hart, S.P., Schreiber, S.J. &amp; Levine, J.M. (2016). How variation between individuals affects species coexistence.</w:t>
      </w:r>
      <w:r>
        <w:t xml:space="preserve"> </w:t>
      </w:r>
      <w:r>
        <w:rPr>
          <w:iCs/>
          <w:i/>
        </w:rPr>
        <w:t xml:space="preserve">Ecology letters</w:t>
      </w:r>
      <w:r>
        <w:t xml:space="preserve">, 19, 825–838.</w:t>
      </w:r>
    </w:p>
    <w:bookmarkEnd w:id="101"/>
    <w:bookmarkStart w:id="102"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2"/>
    <w:bookmarkStart w:id="103"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3"/>
    <w:bookmarkStart w:id="104"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4"/>
    <w:bookmarkStart w:id="10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5"/>
    <w:bookmarkStart w:id="106"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106"/>
    <w:bookmarkStart w:id="107" w:name="ref-hoffmann2011climate"/>
    <w:p>
      <w:pPr>
        <w:pStyle w:val="Bibliography"/>
      </w:pPr>
      <w:r>
        <w:t xml:space="preserve">Hoffmann, A.A. &amp; Sgrò, C.M. (2011). Climate change and evolutionary adaptation.</w:t>
      </w:r>
      <w:r>
        <w:t xml:space="preserve"> </w:t>
      </w:r>
      <w:r>
        <w:rPr>
          <w:iCs/>
          <w:i/>
        </w:rPr>
        <w:t xml:space="preserve">Nature</w:t>
      </w:r>
      <w:r>
        <w:t xml:space="preserve">, 470, 479–485.</w:t>
      </w:r>
    </w:p>
    <w:bookmarkEnd w:id="107"/>
    <w:bookmarkStart w:id="108"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8"/>
    <w:bookmarkStart w:id="109"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09"/>
    <w:bookmarkStart w:id="110"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0"/>
    <w:bookmarkStart w:id="111"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1"/>
    <w:bookmarkStart w:id="112"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12"/>
    <w:bookmarkStart w:id="113"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3"/>
    <w:bookmarkStart w:id="114" w:name="ref-martin2015age"/>
    <w:p>
      <w:pPr>
        <w:pStyle w:val="Bibliography"/>
      </w:pPr>
      <w:r>
        <w:t xml:space="preserve">Martin, T.E. (2015). Age-related mortality explains life history strategies of tropical and temperate songbirds.</w:t>
      </w:r>
      <w:r>
        <w:t xml:space="preserve"> </w:t>
      </w:r>
      <w:r>
        <w:rPr>
          <w:iCs/>
          <w:i/>
        </w:rPr>
        <w:t xml:space="preserve">Science</w:t>
      </w:r>
      <w:r>
        <w:t xml:space="preserve">, 349, 966–970.</w:t>
      </w:r>
    </w:p>
    <w:bookmarkEnd w:id="114"/>
    <w:bookmarkStart w:id="115"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5"/>
    <w:bookmarkStart w:id="116" w:name="ref-merila2014climate"/>
    <w:p>
      <w:pPr>
        <w:pStyle w:val="Bibliography"/>
      </w:pPr>
      <w:r>
        <w:t xml:space="preserve">Merilä, J. &amp; Hendry, A.P. (2014). Climate change, adaptation, and phenotypic plasticity: The problem and the evidence.</w:t>
      </w:r>
      <w:r>
        <w:t xml:space="preserve"> </w:t>
      </w:r>
      <w:r>
        <w:rPr>
          <w:iCs/>
          <w:i/>
        </w:rPr>
        <w:t xml:space="preserve">Evolutionary applications</w:t>
      </w:r>
      <w:r>
        <w:t xml:space="preserve">, 7, 1–14.</w:t>
      </w:r>
    </w:p>
    <w:bookmarkEnd w:id="116"/>
    <w:bookmarkStart w:id="11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17"/>
    <w:bookmarkStart w:id="118" w:name="ref-moghadam2019heat"/>
    <w:p>
      <w:pPr>
        <w:pStyle w:val="Bibliography"/>
      </w:pPr>
      <w:r>
        <w:t xml:space="preserve">Moghadam, N.N., Ketola, T., Pertoldi, C., Bahrndorff, S. &amp; Kristensen, T.N. (2019). Heat hardening capacity in drosophila melanogaster is life stage-specific and juveniles show the highest plasticity.</w:t>
      </w:r>
      <w:r>
        <w:t xml:space="preserve"> </w:t>
      </w:r>
      <w:r>
        <w:rPr>
          <w:iCs/>
          <w:i/>
        </w:rPr>
        <w:t xml:space="preserve">Biology letters</w:t>
      </w:r>
      <w:r>
        <w:t xml:space="preserve">, 15, 20180628.</w:t>
      </w:r>
    </w:p>
    <w:bookmarkEnd w:id="118"/>
    <w:bookmarkStart w:id="119"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19"/>
    <w:bookmarkStart w:id="120"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20"/>
    <w:bookmarkStart w:id="121" w:name="ref-nakagawaorchard"/>
    <w:p>
      <w:pPr>
        <w:pStyle w:val="Bibliography"/>
      </w:pPr>
      <w:r>
        <w:t xml:space="preserve">Nakagawa, S., Lagisz, M., O’Dea, R.E., Pottier, P., Rutkowska, J., Senior, A.M.,</w:t>
      </w:r>
      <w:r>
        <w:t xml:space="preserve"> </w:t>
      </w:r>
      <w:r>
        <w:rPr>
          <w:iCs/>
          <w:i/>
        </w:rPr>
        <w:t xml:space="preserve">et al.</w:t>
      </w:r>
      <w:r>
        <w:t xml:space="preserve"> (n.d.). orchaRd 2.0: An r package for visualising meta-analyses with orchard plots.</w:t>
      </w:r>
      <w:r>
        <w:t xml:space="preserve"> </w:t>
      </w:r>
      <w:r>
        <w:rPr>
          <w:iCs/>
          <w:i/>
        </w:rPr>
        <w:t xml:space="preserve">Methods in Ecology and Evolution</w:t>
      </w:r>
      <w:r>
        <w:t xml:space="preserve">, 14, 2003–2010.</w:t>
      </w:r>
    </w:p>
    <w:bookmarkEnd w:id="121"/>
    <w:bookmarkStart w:id="122"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22"/>
    <w:bookmarkStart w:id="123"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23"/>
    <w:bookmarkStart w:id="124"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24"/>
    <w:bookmarkStart w:id="125"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5"/>
    <w:bookmarkStart w:id="126" w:name="ref-Noble2017-mz"/>
    <w:p>
      <w:pPr>
        <w:pStyle w:val="Bibliography"/>
      </w:pPr>
      <w:r>
        <w:t xml:space="preserve">Noble, D.W.A., Lagisz, M., O’Dea, R.E. &amp; Nakagawa, S. (2017). Non‐independence and sensitivity analyses in ecological and evolutionary meta‐analyses.</w:t>
      </w:r>
      <w:r>
        <w:t xml:space="preserve"> </w:t>
      </w:r>
      <w:r>
        <w:rPr>
          <w:iCs/>
          <w:i/>
        </w:rPr>
        <w:t xml:space="preserve">Molecular Ecology</w:t>
      </w:r>
      <w:r>
        <w:t xml:space="preserve">, 26, 2410–2425.</w:t>
      </w:r>
    </w:p>
    <w:bookmarkEnd w:id="126"/>
    <w:bookmarkStart w:id="127"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7"/>
    <w:bookmarkStart w:id="128" w:name="ref-noble2019plastic"/>
    <w:p>
      <w:pPr>
        <w:pStyle w:val="Bibliography"/>
      </w:pPr>
      <w:r>
        <w:t xml:space="preserve">Noble, D.W., Radersma, R. &amp; Uller, T. (2019). Plastic responses to novel environments are biased towards phenotype dimensions with high additive genetic variation.</w:t>
      </w:r>
      <w:r>
        <w:t xml:space="preserve"> </w:t>
      </w:r>
      <w:r>
        <w:rPr>
          <w:iCs/>
          <w:i/>
        </w:rPr>
        <w:t xml:space="preserve">Proceedings of the National Academy of Sciences</w:t>
      </w:r>
      <w:r>
        <w:t xml:space="preserve">, 116, 13452–13461.</w:t>
      </w:r>
    </w:p>
    <w:bookmarkEnd w:id="128"/>
    <w:bookmarkStart w:id="129"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29"/>
    <w:bookmarkStart w:id="13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30"/>
    <w:bookmarkStart w:id="13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31"/>
    <w:bookmarkStart w:id="132"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32"/>
    <w:bookmarkStart w:id="13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33"/>
    <w:bookmarkStart w:id="13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34"/>
    <w:bookmarkStart w:id="13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35"/>
    <w:bookmarkStart w:id="136"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36"/>
    <w:bookmarkStart w:id="137" w:name="ref-radersma2020plasticity"/>
    <w:p>
      <w:pPr>
        <w:pStyle w:val="Bibliography"/>
      </w:pPr>
      <w:r>
        <w:t xml:space="preserve">Radersma, R., Noble, D.W. &amp; Uller, T. (2020). Plasticity leaves a phenotypic signature during local adaptation.</w:t>
      </w:r>
      <w:r>
        <w:t xml:space="preserve"> </w:t>
      </w:r>
      <w:r>
        <w:rPr>
          <w:iCs/>
          <w:i/>
        </w:rPr>
        <w:t xml:space="preserve">Evolution Letters</w:t>
      </w:r>
      <w:r>
        <w:t xml:space="preserve">, 4, 360–370.</w:t>
      </w:r>
    </w:p>
    <w:bookmarkEnd w:id="137"/>
    <w:bookmarkStart w:id="138"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38"/>
    <w:bookmarkStart w:id="139"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39"/>
    <w:bookmarkStart w:id="140"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40"/>
    <w:bookmarkStart w:id="141"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41"/>
    <w:bookmarkStart w:id="142"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42"/>
    <w:bookmarkStart w:id="143"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43"/>
    <w:bookmarkStart w:id="144"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44"/>
    <w:bookmarkStart w:id="145"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45"/>
    <w:bookmarkStart w:id="146"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46"/>
    <w:bookmarkStart w:id="147" w:name="ref-stearns1976life"/>
    <w:p>
      <w:pPr>
        <w:pStyle w:val="Bibliography"/>
      </w:pPr>
      <w:r>
        <w:t xml:space="preserve">Stearns, S.C. (1976). Life-history tactics: A review of the ideas.</w:t>
      </w:r>
      <w:r>
        <w:t xml:space="preserve"> </w:t>
      </w:r>
      <w:r>
        <w:rPr>
          <w:iCs/>
          <w:i/>
        </w:rPr>
        <w:t xml:space="preserve">The Quarterly review of biology</w:t>
      </w:r>
      <w:r>
        <w:t xml:space="preserve">, 51, 3–47.</w:t>
      </w:r>
    </w:p>
    <w:bookmarkEnd w:id="147"/>
    <w:bookmarkStart w:id="148"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48"/>
    <w:bookmarkStart w:id="149"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49"/>
    <w:bookmarkStart w:id="150"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50"/>
    <w:bookmarkStart w:id="151" w:name="ref-urban2023and"/>
    <w:p>
      <w:pPr>
        <w:pStyle w:val="Bibliography"/>
      </w:pPr>
      <w:r>
        <w:t xml:space="preserve">Urban, M.C., Swaegers, J., Stoks, R., Snook, R.R., Otto, S.P., Noble, D.W.,</w:t>
      </w:r>
      <w:r>
        <w:t xml:space="preserve"> </w:t>
      </w:r>
      <w:r>
        <w:rPr>
          <w:iCs/>
          <w:i/>
        </w:rPr>
        <w:t xml:space="preserve">et al.</w:t>
      </w:r>
      <w:r>
        <w:t xml:space="preserve"> (2023). When and how can we predict adaptive responses to climate change?</w:t>
      </w:r>
      <w:r>
        <w:t xml:space="preserve"> </w:t>
      </w:r>
      <w:r>
        <w:rPr>
          <w:iCs/>
          <w:i/>
        </w:rPr>
        <w:t xml:space="preserve">Evolution Letters</w:t>
      </w:r>
      <w:r>
        <w:t xml:space="preserve">.</w:t>
      </w:r>
    </w:p>
    <w:bookmarkEnd w:id="151"/>
    <w:bookmarkStart w:id="152"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52"/>
    <w:bookmarkStart w:id="15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53"/>
    <w:bookmarkStart w:id="154"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54"/>
    <w:bookmarkStart w:id="155"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55"/>
    <w:bookmarkStart w:id="156"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56"/>
    <w:bookmarkEnd w:id="157"/>
    <w:p>
      <w:pPr>
        <w:pStyle w:val="BodyText"/>
      </w:pPr>
    </w:p>
    <w:bookmarkEnd w:id="158"/>
    <w:bookmarkStart w:id="179" w:name="supplemental-results-and-figures"/>
    <w:p>
      <w:pPr>
        <w:pStyle w:val="Heading2"/>
      </w:pPr>
      <w:r>
        <w:t xml:space="preserve">Supplemental Results and Figures</w:t>
      </w:r>
    </w:p>
    <w:bookmarkStart w:id="163" w:name="Xb63006acf3bc5b84d50a4986f89915cdb41715e"/>
    <w:p>
      <w:pPr>
        <w:pStyle w:val="Heading4"/>
      </w:pPr>
      <w:r>
        <w:t xml:space="preserve">Acute and acclimation</w:t>
      </w:r>
      <w:r>
        <w:t xml:space="preserve"> </w:t>
      </w:r>
      <m:oMath>
        <m:r>
          <m:t>l</m:t>
        </m:r>
        <m:r>
          <m:t>n</m:t>
        </m:r>
        <m:r>
          <m:t>R</m:t>
        </m:r>
        <m:sSub>
          <m:e>
            <m:r>
              <m:t>R</m:t>
            </m:r>
          </m:e>
          <m:sub>
            <m:sSub>
              <m:e>
                <m:r>
                  <m:t>Q</m:t>
                </m:r>
              </m:e>
              <m:sub>
                <m:r>
                  <m:t>10</m:t>
                </m:r>
              </m:sub>
            </m:sSub>
          </m:sub>
        </m:sSub>
      </m:oMath>
      <w:r>
        <w:t xml:space="preserve"> </w:t>
      </w:r>
      <w:r>
        <w:t xml:space="preserve">for different trait categories across marine, freshwater and terrestrial taxa</w:t>
      </w:r>
    </w:p>
    <w:tbl>
      <w:tblPr>
        <w:tblStyle w:val="Table"/>
        <w:tblW w:type="pct" w:w="5000"/>
        <w:tblLook w:firstRow="0" w:lastRow="0" w:firstColumn="0" w:lastColumn="0" w:noHBand="0" w:noVBand="0" w:val="0000"/>
      </w:tblPr>
      <w:tblGrid>
        <w:gridCol w:w="7920"/>
      </w:tblGrid>
      <w:tr>
        <w:tc>
          <w:tcPr/>
          <w:bookmarkStart w:id="162" w:name="fig-2"/>
          <w:p>
            <w:pPr>
              <w:pStyle w:val="Figure"/>
              <w:jc w:val="center"/>
            </w:pPr>
            <w:r>
              <w:drawing>
                <wp:inline>
                  <wp:extent cx="6680200" cy="2183911"/>
                  <wp:effectExtent b="0" l="0" r="0" t="0"/>
                  <wp:docPr descr="" title="" id="160" name="Picture"/>
                  <a:graphic>
                    <a:graphicData uri="http://schemas.openxmlformats.org/drawingml/2006/picture">
                      <pic:pic>
                        <pic:nvPicPr>
                          <pic:cNvPr descr="ms_files/figure-docx/fig-2-1.png" id="161" name="Picture"/>
                          <pic:cNvPicPr>
                            <a:picLocks noChangeArrowheads="1" noChangeAspect="1"/>
                          </pic:cNvPicPr>
                        </pic:nvPicPr>
                        <pic:blipFill>
                          <a:blip r:embed="rId159"/>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w:t>
            </w:r>
          </w:p>
          <w:bookmarkEnd w:id="162"/>
        </w:tc>
      </w:tr>
    </w:tbl>
    <w:bookmarkEnd w:id="163"/>
    <w:bookmarkStart w:id="16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67" w:name="fig-s1"/>
          <w:p>
            <w:pPr>
              <w:pStyle w:val="Figure"/>
              <w:jc w:val="center"/>
            </w:pPr>
            <w:r>
              <w:drawing>
                <wp:inline>
                  <wp:extent cx="6680200" cy="4647095"/>
                  <wp:effectExtent b="0" l="0" r="0" t="0"/>
                  <wp:docPr descr="" title="" id="165" name="Picture"/>
                  <a:graphic>
                    <a:graphicData uri="http://schemas.openxmlformats.org/drawingml/2006/picture">
                      <pic:pic>
                        <pic:nvPicPr>
                          <pic:cNvPr descr="ms_files/figure-docx/fig-s1-1.png" id="166" name="Picture"/>
                          <pic:cNvPicPr>
                            <a:picLocks noChangeArrowheads="1" noChangeAspect="1"/>
                          </pic:cNvPicPr>
                        </pic:nvPicPr>
                        <pic:blipFill>
                          <a:blip r:embed="rId16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67"/>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68"/>
    <w:bookmarkStart w:id="17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72" w:name="fig-s3"/>
          <w:p>
            <w:pPr>
              <w:pStyle w:val="Figure"/>
              <w:jc w:val="center"/>
            </w:pPr>
            <w:r>
              <w:drawing>
                <wp:inline>
                  <wp:extent cx="6680200" cy="2379821"/>
                  <wp:effectExtent b="0" l="0" r="0" t="0"/>
                  <wp:docPr descr="" title="" id="170" name="Picture"/>
                  <a:graphic>
                    <a:graphicData uri="http://schemas.openxmlformats.org/drawingml/2006/picture">
                      <pic:pic>
                        <pic:nvPicPr>
                          <pic:cNvPr descr="ms_files/figure-docx/fig-s3-1.png" id="171" name="Picture"/>
                          <pic:cNvPicPr>
                            <a:picLocks noChangeArrowheads="1" noChangeAspect="1"/>
                          </pic:cNvPicPr>
                        </pic:nvPicPr>
                        <pic:blipFill>
                          <a:blip r:embed="rId16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72"/>
        </w:tc>
      </w:tr>
    </w:tbl>
    <w:bookmarkEnd w:id="173"/>
    <w:bookmarkStart w:id="17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77" w:name="fig-s2"/>
          <w:p>
            <w:pPr>
              <w:pStyle w:val="Figure"/>
              <w:jc w:val="center"/>
            </w:pPr>
            <w:r>
              <w:drawing>
                <wp:inline>
                  <wp:extent cx="6680200" cy="2788257"/>
                  <wp:effectExtent b="0" l="0" r="0" t="0"/>
                  <wp:docPr descr="" title="" id="175" name="Picture"/>
                  <a:graphic>
                    <a:graphicData uri="http://schemas.openxmlformats.org/drawingml/2006/picture">
                      <pic:pic>
                        <pic:nvPicPr>
                          <pic:cNvPr descr="ms_files/figure-docx/fig-s2-1.png" id="176" name="Picture"/>
                          <pic:cNvPicPr>
                            <a:picLocks noChangeArrowheads="1" noChangeAspect="1"/>
                          </pic:cNvPicPr>
                        </pic:nvPicPr>
                        <pic:blipFill>
                          <a:blip r:embed="rId17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77"/>
        </w:tc>
      </w:tr>
    </w:tbl>
    <w:bookmarkEnd w:id="178"/>
    <w:bookmarkEnd w:id="179"/>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59" Target="media/rId159.png"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1" Target="media/rId71.png" /><Relationship Type="http://schemas.openxmlformats.org/officeDocument/2006/relationships/image" Id="rId164" Target="media/rId164.png" /><Relationship Type="http://schemas.openxmlformats.org/officeDocument/2006/relationships/image" Id="rId174" Target="media/rId174.png" /><Relationship Type="http://schemas.openxmlformats.org/officeDocument/2006/relationships/image" Id="rId169" Target="media/rId16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2024-01-09T06:04:18Z</dcterms:created>
  <dcterms:modified xsi:type="dcterms:W3CDTF">2024-01-09T06:04:18Z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